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EF3CA" w:themeColor="accent2" w:themeTint="33"/>
  <w:body>
    <w:p w:rsidR="00015147" w:rsidRPr="008C526D" w:rsidRDefault="00DE5297" w:rsidP="00D826AF">
      <w:pPr>
        <w:jc w:val="center"/>
        <w:rPr>
          <w:rFonts w:ascii="Kristen ITC" w:hAnsi="Kristen ITC"/>
          <w:sz w:val="24"/>
          <w:szCs w:val="24"/>
        </w:rPr>
      </w:pPr>
      <w:r w:rsidRPr="008C526D">
        <w:rPr>
          <w:rFonts w:ascii="Kristen ITC" w:hAnsi="Kristen ITC"/>
          <w:sz w:val="24"/>
          <w:szCs w:val="24"/>
        </w:rPr>
        <w:t>EARLY CHILDHOOD</w:t>
      </w:r>
      <w:r w:rsidR="00F94771" w:rsidRPr="008C526D">
        <w:rPr>
          <w:rFonts w:ascii="Kristen ITC" w:hAnsi="Kristen ITC"/>
          <w:sz w:val="24"/>
          <w:szCs w:val="24"/>
        </w:rPr>
        <w:t xml:space="preserve"> SPECIAL</w:t>
      </w:r>
      <w:r w:rsidRPr="008C526D">
        <w:rPr>
          <w:rFonts w:ascii="Kristen ITC" w:hAnsi="Kristen ITC"/>
          <w:sz w:val="24"/>
          <w:szCs w:val="24"/>
        </w:rPr>
        <w:t xml:space="preserve"> EDUCATION</w:t>
      </w:r>
    </w:p>
    <w:p w:rsidR="001F4246" w:rsidRPr="00DE5297" w:rsidRDefault="001F4246" w:rsidP="00000722">
      <w:pPr>
        <w:rPr>
          <w:rFonts w:ascii="Wide Latin" w:hAnsi="Wide Latin"/>
          <w:sz w:val="28"/>
          <w:szCs w:val="28"/>
        </w:rPr>
      </w:pPr>
    </w:p>
    <w:p w:rsidR="001F4246" w:rsidRPr="00872C52" w:rsidRDefault="00000722" w:rsidP="00D826AF">
      <w:pPr>
        <w:jc w:val="center"/>
        <w:rPr>
          <w:rFonts w:ascii="Copperplate Gothic Bold" w:hAnsi="Copperplate Gothic Bold"/>
          <w:color w:val="FFFFFF" w:themeColor="background1"/>
          <w:sz w:val="28"/>
          <w:szCs w:val="28"/>
        </w:rPr>
      </w:pPr>
      <w:r>
        <w:rPr>
          <w:rFonts w:ascii="Copperplate Gothic Bold" w:hAnsi="Copperplate Gothic Bold"/>
          <w:noProof/>
          <w:color w:val="FFFFFF" w:themeColor="background1"/>
          <w:sz w:val="28"/>
          <w:szCs w:val="28"/>
        </w:rPr>
        <w:drawing>
          <wp:inline distT="0" distB="0" distL="0" distR="0">
            <wp:extent cx="3498850" cy="8763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7">
                      <a:extLst>
                        <a:ext uri="{28A0092B-C50C-407E-A947-70E740481C1C}">
                          <a14:useLocalDpi xmlns:a14="http://schemas.microsoft.com/office/drawing/2010/main" val="0"/>
                        </a:ext>
                      </a:extLst>
                    </a:blip>
                    <a:stretch>
                      <a:fillRect/>
                    </a:stretch>
                  </pic:blipFill>
                  <pic:spPr>
                    <a:xfrm>
                      <a:off x="0" y="0"/>
                      <a:ext cx="3535096" cy="885425"/>
                    </a:xfrm>
                    <a:prstGeom prst="rect">
                      <a:avLst/>
                    </a:prstGeom>
                  </pic:spPr>
                </pic:pic>
              </a:graphicData>
            </a:graphic>
          </wp:inline>
        </w:drawing>
      </w:r>
    </w:p>
    <w:p w:rsidR="00DE5297" w:rsidRPr="008C526D" w:rsidRDefault="00DE5297" w:rsidP="00D826AF">
      <w:pPr>
        <w:rPr>
          <w:rFonts w:ascii="Kristen ITC" w:hAnsi="Kristen ITC"/>
          <w:sz w:val="28"/>
          <w:szCs w:val="28"/>
        </w:rPr>
      </w:pPr>
    </w:p>
    <w:p w:rsidR="00EA13F8" w:rsidRDefault="00EA13F8" w:rsidP="00D826AF">
      <w:pPr>
        <w:rPr>
          <w:rFonts w:ascii="Kristen ITC" w:hAnsi="Kristen ITC"/>
          <w:sz w:val="18"/>
          <w:szCs w:val="18"/>
        </w:rPr>
      </w:pPr>
    </w:p>
    <w:p w:rsidR="00887280" w:rsidRDefault="00EA13F8" w:rsidP="00D826AF">
      <w:pPr>
        <w:rPr>
          <w:rFonts w:ascii="Kristen ITC" w:hAnsi="Kristen ITC"/>
          <w:sz w:val="18"/>
          <w:szCs w:val="18"/>
        </w:rPr>
      </w:pPr>
      <w:r>
        <w:rPr>
          <w:rFonts w:ascii="Kristen ITC" w:hAnsi="Kristen ITC"/>
          <w:sz w:val="18"/>
          <w:szCs w:val="18"/>
        </w:rPr>
        <w:t xml:space="preserve">Early Childhood is forever growing and changing.  As we continue to promote learning for children ages 3-5, Four Rivers is committed to educating young children with disabilities in the most appropriate settings to meet their needs. </w:t>
      </w:r>
    </w:p>
    <w:p w:rsidR="00887280" w:rsidRDefault="00887280" w:rsidP="00D826AF">
      <w:pPr>
        <w:rPr>
          <w:rFonts w:ascii="Kristen ITC" w:hAnsi="Kristen ITC"/>
          <w:sz w:val="18"/>
          <w:szCs w:val="18"/>
        </w:rPr>
      </w:pPr>
    </w:p>
    <w:p w:rsidR="00F04DED" w:rsidRDefault="00887280" w:rsidP="00D826AF">
      <w:pPr>
        <w:rPr>
          <w:rFonts w:ascii="Kristen ITC" w:hAnsi="Kristen ITC"/>
          <w:sz w:val="18"/>
          <w:szCs w:val="18"/>
        </w:rPr>
      </w:pPr>
      <w:r>
        <w:rPr>
          <w:rFonts w:ascii="Kristen ITC" w:hAnsi="Kristen ITC"/>
          <w:sz w:val="18"/>
          <w:szCs w:val="18"/>
        </w:rPr>
        <w:t>Supporting the policy statement</w:t>
      </w:r>
      <w:r w:rsidR="00D70B79">
        <w:rPr>
          <w:rFonts w:ascii="Kristen ITC" w:hAnsi="Kristen ITC"/>
          <w:sz w:val="18"/>
          <w:szCs w:val="18"/>
        </w:rPr>
        <w:t>s</w:t>
      </w:r>
      <w:r>
        <w:rPr>
          <w:rFonts w:ascii="Kristen ITC" w:hAnsi="Kristen ITC"/>
          <w:sz w:val="18"/>
          <w:szCs w:val="18"/>
        </w:rPr>
        <w:t xml:space="preserve"> from national agencies and government departments*</w:t>
      </w:r>
      <w:r w:rsidR="00EA13F8">
        <w:rPr>
          <w:rFonts w:ascii="Kristen ITC" w:hAnsi="Kristen ITC"/>
          <w:sz w:val="18"/>
          <w:szCs w:val="18"/>
        </w:rPr>
        <w:t xml:space="preserve">, Illinois supports the movement toward inclusion of preschool age children with disabilities.  Inclusion in early childhood refers to the including children with disabilities; holding high expectations and intentionally promoting participation in all learning and social activities.  These activities are facilitated by individualized accommodations, using evidence-based services/supports to foster their development, friendships with peers and belonging.  This applies to all children with disabilities, from those with the mildest disabilities to those with the most significant disabilities.  </w:t>
      </w:r>
    </w:p>
    <w:p w:rsidR="00887280" w:rsidRDefault="00887280" w:rsidP="00D826AF">
      <w:pPr>
        <w:rPr>
          <w:rFonts w:ascii="Kristen ITC" w:hAnsi="Kristen ITC"/>
          <w:sz w:val="18"/>
          <w:szCs w:val="18"/>
        </w:rPr>
      </w:pPr>
    </w:p>
    <w:p w:rsidR="00887280" w:rsidRDefault="00887280" w:rsidP="00D826AF">
      <w:pPr>
        <w:rPr>
          <w:rFonts w:ascii="Kristen ITC" w:hAnsi="Kristen ITC"/>
          <w:sz w:val="16"/>
          <w:szCs w:val="16"/>
        </w:rPr>
      </w:pPr>
      <w:r>
        <w:rPr>
          <w:rFonts w:ascii="Kristen ITC" w:hAnsi="Kristen ITC"/>
          <w:sz w:val="18"/>
          <w:szCs w:val="18"/>
        </w:rPr>
        <w:t>*</w:t>
      </w:r>
      <w:r w:rsidRPr="00887280">
        <w:rPr>
          <w:rFonts w:ascii="Kristen ITC" w:hAnsi="Kristen ITC"/>
          <w:sz w:val="16"/>
          <w:szCs w:val="16"/>
        </w:rPr>
        <w:t>Agencies and Departments include:  Division of Early Childhood (DEC), National Association for the Education of Young Children (NAEYC), Individual with Disabilities Education Improvement Act (IDEIA), US Department of Health and Human Services and US Department of Education, The Center to Mobilize Early Childhood Knowledge.</w:t>
      </w:r>
    </w:p>
    <w:p w:rsidR="00550BDA" w:rsidRDefault="00550BDA" w:rsidP="00D826AF">
      <w:pPr>
        <w:rPr>
          <w:rFonts w:ascii="Kristen ITC" w:hAnsi="Kristen ITC"/>
          <w:sz w:val="16"/>
          <w:szCs w:val="16"/>
        </w:rPr>
      </w:pPr>
    </w:p>
    <w:p w:rsidR="00550BDA" w:rsidRDefault="00550BDA" w:rsidP="00550BDA">
      <w:pPr>
        <w:rPr>
          <w:rFonts w:ascii="Kristen ITC" w:hAnsi="Kristen ITC"/>
          <w:sz w:val="18"/>
          <w:szCs w:val="18"/>
        </w:rPr>
      </w:pPr>
      <w:r w:rsidRPr="008C526D">
        <w:rPr>
          <w:rFonts w:ascii="Kristen ITC" w:hAnsi="Kristen ITC"/>
          <w:sz w:val="18"/>
          <w:szCs w:val="18"/>
        </w:rPr>
        <w:t>Currently, Special Education servic</w:t>
      </w:r>
      <w:r>
        <w:rPr>
          <w:rFonts w:ascii="Kristen ITC" w:hAnsi="Kristen ITC"/>
          <w:sz w:val="18"/>
          <w:szCs w:val="18"/>
        </w:rPr>
        <w:t xml:space="preserve">es are provided within the Four Rivers Cooperative in the areas of </w:t>
      </w:r>
      <w:r w:rsidRPr="008C526D">
        <w:rPr>
          <w:rFonts w:ascii="Kristen ITC" w:hAnsi="Kristen ITC"/>
          <w:sz w:val="18"/>
          <w:szCs w:val="18"/>
        </w:rPr>
        <w:t>Early Childhood Special Education (ECSE) and Early Childhood Inclusion Support (ECIS).</w:t>
      </w:r>
    </w:p>
    <w:p w:rsidR="00F04DED" w:rsidRPr="008C526D" w:rsidRDefault="00F04DED" w:rsidP="00D826AF">
      <w:pPr>
        <w:rPr>
          <w:rFonts w:ascii="Kristen ITC" w:hAnsi="Kristen ITC"/>
          <w:sz w:val="18"/>
          <w:szCs w:val="18"/>
        </w:rPr>
      </w:pPr>
    </w:p>
    <w:p w:rsidR="00DE5458" w:rsidRPr="008C526D" w:rsidRDefault="00DE5458" w:rsidP="00B57D6D">
      <w:pPr>
        <w:rPr>
          <w:rFonts w:ascii="Kristen ITC" w:hAnsi="Kristen ITC"/>
          <w:b/>
          <w:sz w:val="18"/>
          <w:szCs w:val="18"/>
          <w:u w:val="single"/>
        </w:rPr>
      </w:pPr>
      <w:r w:rsidRPr="008C526D">
        <w:rPr>
          <w:rFonts w:ascii="Kristen ITC" w:hAnsi="Kristen ITC"/>
          <w:b/>
          <w:sz w:val="18"/>
          <w:szCs w:val="18"/>
          <w:u w:val="single"/>
        </w:rPr>
        <w:t>Early Childhood Special Education</w:t>
      </w:r>
      <w:r w:rsidR="002D27CC" w:rsidRPr="008C526D">
        <w:rPr>
          <w:rFonts w:ascii="Kristen ITC" w:hAnsi="Kristen ITC"/>
          <w:b/>
          <w:sz w:val="18"/>
          <w:szCs w:val="18"/>
          <w:u w:val="single"/>
        </w:rPr>
        <w:t xml:space="preserve"> (ECSE)</w:t>
      </w:r>
    </w:p>
    <w:p w:rsidR="00DE5458" w:rsidRPr="008C526D" w:rsidRDefault="00DE5458" w:rsidP="00B57D6D">
      <w:pPr>
        <w:rPr>
          <w:rFonts w:ascii="Kristen ITC" w:hAnsi="Kristen ITC"/>
          <w:sz w:val="18"/>
          <w:szCs w:val="18"/>
        </w:rPr>
      </w:pPr>
    </w:p>
    <w:p w:rsidR="00B57D6D" w:rsidRPr="008C526D" w:rsidRDefault="00654ED4" w:rsidP="00B57D6D">
      <w:pPr>
        <w:rPr>
          <w:rFonts w:ascii="Kristen ITC" w:hAnsi="Kristen ITC"/>
          <w:sz w:val="18"/>
          <w:szCs w:val="18"/>
        </w:rPr>
      </w:pPr>
      <w:r>
        <w:rPr>
          <w:rFonts w:ascii="Kristen ITC" w:hAnsi="Kristen ITC"/>
          <w:sz w:val="18"/>
          <w:szCs w:val="18"/>
        </w:rPr>
        <w:t xml:space="preserve">There are presently </w:t>
      </w:r>
      <w:r w:rsidR="000D1F44">
        <w:rPr>
          <w:rFonts w:ascii="Kristen ITC" w:hAnsi="Kristen ITC"/>
          <w:sz w:val="18"/>
          <w:szCs w:val="18"/>
        </w:rPr>
        <w:t xml:space="preserve">6 </w:t>
      </w:r>
      <w:r w:rsidR="00F04DED" w:rsidRPr="008C526D">
        <w:rPr>
          <w:rFonts w:ascii="Kristen ITC" w:hAnsi="Kristen ITC"/>
          <w:sz w:val="18"/>
          <w:szCs w:val="18"/>
        </w:rPr>
        <w:t>Early Childhood Special Educati</w:t>
      </w:r>
      <w:r>
        <w:rPr>
          <w:rFonts w:ascii="Kristen ITC" w:hAnsi="Kristen ITC"/>
          <w:sz w:val="18"/>
          <w:szCs w:val="18"/>
        </w:rPr>
        <w:t>on classrooms that</w:t>
      </w:r>
      <w:r w:rsidR="00413F24" w:rsidRPr="008C526D">
        <w:rPr>
          <w:rFonts w:ascii="Kristen ITC" w:hAnsi="Kristen ITC"/>
          <w:sz w:val="18"/>
          <w:szCs w:val="18"/>
        </w:rPr>
        <w:t xml:space="preserve"> are</w:t>
      </w:r>
      <w:r w:rsidR="00BB00B7" w:rsidRPr="008C526D">
        <w:rPr>
          <w:rFonts w:ascii="Kristen ITC" w:hAnsi="Kristen ITC"/>
          <w:sz w:val="18"/>
          <w:szCs w:val="18"/>
        </w:rPr>
        <w:t xml:space="preserve"> located regionally throughout the</w:t>
      </w:r>
      <w:r w:rsidR="00721D71" w:rsidRPr="008C526D">
        <w:rPr>
          <w:rFonts w:ascii="Kristen ITC" w:hAnsi="Kristen ITC"/>
          <w:sz w:val="18"/>
          <w:szCs w:val="18"/>
        </w:rPr>
        <w:t xml:space="preserve"> nineteen </w:t>
      </w:r>
      <w:r w:rsidR="00BB00B7" w:rsidRPr="008C526D">
        <w:rPr>
          <w:rFonts w:ascii="Kristen ITC" w:hAnsi="Kristen ITC"/>
          <w:sz w:val="18"/>
          <w:szCs w:val="18"/>
        </w:rPr>
        <w:t xml:space="preserve">districts served by the Four Rivers Cooperative.  </w:t>
      </w:r>
      <w:r w:rsidR="00AD7F66" w:rsidRPr="008C526D">
        <w:rPr>
          <w:rFonts w:ascii="Kristen ITC" w:hAnsi="Kristen ITC"/>
          <w:sz w:val="18"/>
          <w:szCs w:val="18"/>
        </w:rPr>
        <w:t xml:space="preserve"> ECSE classrooms are cross-</w:t>
      </w:r>
      <w:r w:rsidR="00B57D6D" w:rsidRPr="008C526D">
        <w:rPr>
          <w:rFonts w:ascii="Kristen ITC" w:hAnsi="Kristen ITC"/>
          <w:sz w:val="18"/>
          <w:szCs w:val="18"/>
        </w:rPr>
        <w:t xml:space="preserve">categorical which means that children with a variety of delays and developmental levels may be served within the same ECSE classroom.  </w:t>
      </w:r>
    </w:p>
    <w:p w:rsidR="00C66C5A" w:rsidRPr="008C526D" w:rsidRDefault="00C66C5A" w:rsidP="00D826AF">
      <w:pPr>
        <w:rPr>
          <w:rFonts w:ascii="Kristen ITC" w:hAnsi="Kristen ITC"/>
          <w:sz w:val="18"/>
          <w:szCs w:val="18"/>
        </w:rPr>
      </w:pPr>
    </w:p>
    <w:p w:rsidR="00F919EC" w:rsidRPr="008C526D" w:rsidRDefault="00BB00B7" w:rsidP="009667B1">
      <w:pPr>
        <w:rPr>
          <w:rFonts w:ascii="Kristen ITC" w:hAnsi="Kristen ITC" w:cs="Times New Roman"/>
          <w:sz w:val="18"/>
          <w:szCs w:val="18"/>
        </w:rPr>
      </w:pPr>
      <w:r w:rsidRPr="008C526D">
        <w:rPr>
          <w:rFonts w:ascii="Kristen ITC" w:hAnsi="Kristen ITC" w:cs="Times New Roman"/>
          <w:sz w:val="18"/>
          <w:szCs w:val="18"/>
        </w:rPr>
        <w:t xml:space="preserve">Each classroom may be assigned a maximum of 10 children per </w:t>
      </w:r>
      <w:r w:rsidR="0028067B" w:rsidRPr="008C526D">
        <w:rPr>
          <w:rFonts w:ascii="Kristen ITC" w:hAnsi="Kristen ITC" w:cs="Times New Roman"/>
          <w:sz w:val="18"/>
          <w:szCs w:val="18"/>
        </w:rPr>
        <w:t xml:space="preserve">half day session and is staffed with a teacher and an aide.  </w:t>
      </w:r>
      <w:r w:rsidR="009D6FE0" w:rsidRPr="00116208">
        <w:rPr>
          <w:rFonts w:ascii="Kristen ITC" w:hAnsi="Kristen ITC" w:cs="Times New Roman"/>
          <w:sz w:val="18"/>
          <w:szCs w:val="18"/>
        </w:rPr>
        <w:t>Every child</w:t>
      </w:r>
      <w:r w:rsidR="009D6FE0">
        <w:rPr>
          <w:rFonts w:ascii="Kristen ITC" w:hAnsi="Kristen ITC" w:cs="Times New Roman"/>
          <w:sz w:val="18"/>
          <w:szCs w:val="18"/>
        </w:rPr>
        <w:t xml:space="preserve"> in the classroom</w:t>
      </w:r>
      <w:r w:rsidR="009D6FE0" w:rsidRPr="00116208">
        <w:rPr>
          <w:rFonts w:ascii="Kristen ITC" w:hAnsi="Kristen ITC" w:cs="Times New Roman"/>
          <w:sz w:val="18"/>
          <w:szCs w:val="18"/>
        </w:rPr>
        <w:t xml:space="preserve"> has an IEP</w:t>
      </w:r>
      <w:r w:rsidR="009D6FE0">
        <w:rPr>
          <w:rFonts w:ascii="Kristen ITC" w:hAnsi="Kristen ITC" w:cs="Times New Roman"/>
          <w:sz w:val="18"/>
          <w:szCs w:val="18"/>
        </w:rPr>
        <w:t xml:space="preserve">.  </w:t>
      </w:r>
      <w:r w:rsidR="0028067B" w:rsidRPr="008C526D">
        <w:rPr>
          <w:rFonts w:ascii="Kristen ITC" w:hAnsi="Kristen ITC" w:cs="Times New Roman"/>
          <w:sz w:val="18"/>
          <w:szCs w:val="18"/>
        </w:rPr>
        <w:t xml:space="preserve">The classes are 2 ½ hours long, five days per week.  Each local district provides transportation to and from the class. </w:t>
      </w:r>
      <w:r w:rsidR="00413F24" w:rsidRPr="008C526D">
        <w:rPr>
          <w:rFonts w:ascii="Kristen ITC" w:hAnsi="Kristen ITC" w:cs="Times New Roman"/>
          <w:sz w:val="18"/>
          <w:szCs w:val="18"/>
        </w:rPr>
        <w:t xml:space="preserve">  </w:t>
      </w:r>
      <w:r w:rsidR="00DE5458" w:rsidRPr="008C526D">
        <w:rPr>
          <w:rFonts w:ascii="Kristen ITC" w:hAnsi="Kristen ITC" w:cs="Times New Roman"/>
          <w:sz w:val="18"/>
          <w:szCs w:val="18"/>
        </w:rPr>
        <w:t>If 2 or more program</w:t>
      </w:r>
      <w:r w:rsidR="00F919EC" w:rsidRPr="008C526D">
        <w:rPr>
          <w:rFonts w:ascii="Kristen ITC" w:hAnsi="Kristen ITC" w:cs="Times New Roman"/>
          <w:sz w:val="18"/>
          <w:szCs w:val="18"/>
        </w:rPr>
        <w:t>s</w:t>
      </w:r>
      <w:r w:rsidR="00DE5458" w:rsidRPr="008C526D">
        <w:rPr>
          <w:rFonts w:ascii="Kristen ITC" w:hAnsi="Kristen ITC" w:cs="Times New Roman"/>
          <w:sz w:val="18"/>
          <w:szCs w:val="18"/>
        </w:rPr>
        <w:t>/classes are located in one region</w:t>
      </w:r>
      <w:r w:rsidR="00F919EC" w:rsidRPr="008C526D">
        <w:rPr>
          <w:rFonts w:ascii="Kristen ITC" w:hAnsi="Kristen ITC" w:cs="Times New Roman"/>
          <w:sz w:val="18"/>
          <w:szCs w:val="18"/>
        </w:rPr>
        <w:t>,</w:t>
      </w:r>
      <w:r w:rsidR="00DE5458" w:rsidRPr="008C526D">
        <w:rPr>
          <w:rFonts w:ascii="Kristen ITC" w:hAnsi="Kristen ITC" w:cs="Times New Roman"/>
          <w:sz w:val="18"/>
          <w:szCs w:val="18"/>
        </w:rPr>
        <w:t xml:space="preserve"> student placement may change during the time the student is in the Early Childhood Program.  </w:t>
      </w:r>
      <w:r w:rsidR="00B63023" w:rsidRPr="008C526D">
        <w:rPr>
          <w:rFonts w:ascii="Kristen ITC" w:hAnsi="Kristen ITC" w:cs="Times New Roman"/>
          <w:sz w:val="18"/>
          <w:szCs w:val="18"/>
        </w:rPr>
        <w:t xml:space="preserve">For example, a student may attend class in the morning one year and may attend the afternoon class the next year.  </w:t>
      </w:r>
      <w:r w:rsidR="00DE5458" w:rsidRPr="008C526D">
        <w:rPr>
          <w:rFonts w:ascii="Kristen ITC" w:hAnsi="Kristen ITC" w:cs="Times New Roman"/>
          <w:sz w:val="18"/>
          <w:szCs w:val="18"/>
        </w:rPr>
        <w:t xml:space="preserve">Placement with the same class or teacher is not </w:t>
      </w:r>
      <w:r w:rsidR="00840C1A" w:rsidRPr="008C526D">
        <w:rPr>
          <w:rFonts w:ascii="Kristen ITC" w:hAnsi="Kristen ITC" w:cs="Times New Roman"/>
          <w:sz w:val="18"/>
          <w:szCs w:val="18"/>
        </w:rPr>
        <w:t>guaranteed from</w:t>
      </w:r>
      <w:r w:rsidR="00DE5458" w:rsidRPr="008C526D">
        <w:rPr>
          <w:rFonts w:ascii="Kristen ITC" w:hAnsi="Kristen ITC" w:cs="Times New Roman"/>
          <w:sz w:val="18"/>
          <w:szCs w:val="18"/>
        </w:rPr>
        <w:t xml:space="preserve"> year to year.  The needs and supports of each student are assessed each year, thus creating the possibility that students may experience a change.</w:t>
      </w:r>
      <w:r w:rsidR="009667B1" w:rsidRPr="008C526D">
        <w:rPr>
          <w:rFonts w:ascii="Kristen ITC" w:hAnsi="Kristen ITC" w:cs="Times New Roman"/>
          <w:sz w:val="18"/>
          <w:szCs w:val="18"/>
        </w:rPr>
        <w:t xml:space="preserve"> </w:t>
      </w:r>
    </w:p>
    <w:p w:rsidR="00116208" w:rsidRDefault="009667B1" w:rsidP="00116208">
      <w:pPr>
        <w:rPr>
          <w:rFonts w:ascii="Kristen ITC" w:hAnsi="Kristen ITC" w:cs="Times New Roman"/>
          <w:sz w:val="18"/>
          <w:szCs w:val="18"/>
        </w:rPr>
      </w:pPr>
      <w:r w:rsidRPr="00116208">
        <w:rPr>
          <w:rFonts w:ascii="Kristen ITC" w:hAnsi="Kristen ITC" w:cs="Times New Roman"/>
          <w:sz w:val="18"/>
          <w:szCs w:val="18"/>
        </w:rPr>
        <w:lastRenderedPageBreak/>
        <w:t>Related services can include speech, OT, PT,</w:t>
      </w:r>
      <w:r w:rsidR="00C302F6" w:rsidRPr="00116208">
        <w:rPr>
          <w:rFonts w:ascii="Kristen ITC" w:hAnsi="Kristen ITC" w:cs="Times New Roman"/>
          <w:sz w:val="18"/>
          <w:szCs w:val="18"/>
        </w:rPr>
        <w:t xml:space="preserve"> Social Work,</w:t>
      </w:r>
      <w:r w:rsidR="00226257" w:rsidRPr="00116208">
        <w:rPr>
          <w:rFonts w:ascii="Kristen ITC" w:hAnsi="Kristen ITC" w:cs="Times New Roman"/>
          <w:sz w:val="18"/>
          <w:szCs w:val="18"/>
        </w:rPr>
        <w:t xml:space="preserve"> Vision, </w:t>
      </w:r>
      <w:r w:rsidRPr="00116208">
        <w:rPr>
          <w:rFonts w:ascii="Kristen ITC" w:hAnsi="Kristen ITC" w:cs="Times New Roman"/>
          <w:sz w:val="18"/>
          <w:szCs w:val="18"/>
        </w:rPr>
        <w:t xml:space="preserve">Hearing </w:t>
      </w:r>
      <w:r w:rsidR="00226257" w:rsidRPr="00116208">
        <w:rPr>
          <w:rFonts w:ascii="Kristen ITC" w:hAnsi="Kristen ITC" w:cs="Times New Roman"/>
          <w:sz w:val="18"/>
          <w:szCs w:val="18"/>
        </w:rPr>
        <w:t xml:space="preserve">and nursing </w:t>
      </w:r>
      <w:r w:rsidRPr="00116208">
        <w:rPr>
          <w:rFonts w:ascii="Kristen ITC" w:hAnsi="Kristen ITC" w:cs="Times New Roman"/>
          <w:sz w:val="18"/>
          <w:szCs w:val="18"/>
        </w:rPr>
        <w:t>support.  Programs given by these related service providers are reinforced in the classroom, providing a more therapeutic environment for the student</w:t>
      </w:r>
      <w:r w:rsidR="00116208">
        <w:rPr>
          <w:rFonts w:ascii="Kristen ITC" w:hAnsi="Kristen ITC" w:cs="Times New Roman"/>
          <w:sz w:val="18"/>
          <w:szCs w:val="18"/>
        </w:rPr>
        <w:t>s</w:t>
      </w:r>
      <w:r w:rsidRPr="00116208">
        <w:rPr>
          <w:rFonts w:ascii="Kristen ITC" w:hAnsi="Kristen ITC" w:cs="Times New Roman"/>
          <w:sz w:val="18"/>
          <w:szCs w:val="18"/>
        </w:rPr>
        <w:t>.</w:t>
      </w:r>
    </w:p>
    <w:p w:rsidR="00AD7F66" w:rsidRPr="00116208" w:rsidRDefault="009667B1" w:rsidP="00116208">
      <w:pPr>
        <w:rPr>
          <w:rFonts w:ascii="Kristen ITC" w:hAnsi="Kristen ITC" w:cs="Times New Roman"/>
          <w:sz w:val="18"/>
          <w:szCs w:val="18"/>
        </w:rPr>
      </w:pPr>
      <w:r w:rsidRPr="00116208">
        <w:rPr>
          <w:rFonts w:ascii="Kristen ITC" w:hAnsi="Kristen ITC" w:cs="Times New Roman"/>
          <w:sz w:val="18"/>
          <w:szCs w:val="18"/>
        </w:rPr>
        <w:t xml:space="preserve">  </w:t>
      </w:r>
    </w:p>
    <w:p w:rsidR="00C66C5A" w:rsidRPr="008C526D" w:rsidRDefault="00095722" w:rsidP="00D826AF">
      <w:pPr>
        <w:rPr>
          <w:rFonts w:ascii="Kristen ITC" w:hAnsi="Kristen ITC" w:cs="Times New Roman"/>
          <w:b/>
          <w:sz w:val="18"/>
          <w:szCs w:val="18"/>
          <w:u w:val="single"/>
        </w:rPr>
      </w:pPr>
      <w:r w:rsidRPr="008C526D">
        <w:rPr>
          <w:rFonts w:ascii="Kristen ITC" w:hAnsi="Kristen ITC" w:cs="Times New Roman"/>
          <w:b/>
          <w:sz w:val="18"/>
          <w:szCs w:val="18"/>
          <w:u w:val="single"/>
        </w:rPr>
        <w:t>Early</w:t>
      </w:r>
      <w:r w:rsidR="00654ED4">
        <w:rPr>
          <w:rFonts w:ascii="Kristen ITC" w:hAnsi="Kristen ITC" w:cs="Times New Roman"/>
          <w:b/>
          <w:sz w:val="18"/>
          <w:szCs w:val="18"/>
          <w:u w:val="single"/>
        </w:rPr>
        <w:t xml:space="preserve"> Childhood Inclusion/Itinerant Support</w:t>
      </w:r>
      <w:r w:rsidR="00AD7F66" w:rsidRPr="008C526D">
        <w:rPr>
          <w:rFonts w:ascii="Kristen ITC" w:hAnsi="Kristen ITC" w:cs="Times New Roman"/>
          <w:b/>
          <w:sz w:val="18"/>
          <w:szCs w:val="18"/>
          <w:u w:val="single"/>
        </w:rPr>
        <w:t xml:space="preserve"> (ECIS)</w:t>
      </w:r>
    </w:p>
    <w:p w:rsidR="00095722" w:rsidRPr="008C526D" w:rsidRDefault="00095722" w:rsidP="00D826AF">
      <w:pPr>
        <w:rPr>
          <w:rFonts w:ascii="Kristen ITC" w:hAnsi="Kristen ITC" w:cs="Times New Roman"/>
          <w:b/>
          <w:sz w:val="18"/>
          <w:szCs w:val="18"/>
          <w:u w:val="single"/>
        </w:rPr>
      </w:pPr>
    </w:p>
    <w:p w:rsidR="00F919EC" w:rsidRDefault="0094526F" w:rsidP="009667B1">
      <w:pPr>
        <w:rPr>
          <w:rFonts w:ascii="Kristen ITC" w:hAnsi="Kristen ITC" w:cs="Times New Roman"/>
          <w:sz w:val="18"/>
          <w:szCs w:val="18"/>
        </w:rPr>
      </w:pPr>
      <w:r w:rsidRPr="008C526D">
        <w:rPr>
          <w:rFonts w:ascii="Kristen ITC" w:hAnsi="Kristen ITC" w:cs="Times New Roman"/>
          <w:sz w:val="18"/>
          <w:szCs w:val="18"/>
        </w:rPr>
        <w:t>Four Rivers</w:t>
      </w:r>
      <w:r w:rsidR="0028067B" w:rsidRPr="008C526D">
        <w:rPr>
          <w:rFonts w:ascii="Kristen ITC" w:hAnsi="Kristen ITC" w:cs="Times New Roman"/>
          <w:sz w:val="18"/>
          <w:szCs w:val="18"/>
        </w:rPr>
        <w:t xml:space="preserve"> provides children who are attending</w:t>
      </w:r>
      <w:r w:rsidR="00F228DF" w:rsidRPr="008C526D">
        <w:rPr>
          <w:rFonts w:ascii="Kristen ITC" w:hAnsi="Kristen ITC" w:cs="Times New Roman"/>
          <w:sz w:val="18"/>
          <w:szCs w:val="18"/>
        </w:rPr>
        <w:t xml:space="preserve"> local</w:t>
      </w:r>
      <w:r w:rsidR="00654ED4">
        <w:rPr>
          <w:rFonts w:ascii="Kristen ITC" w:hAnsi="Kristen ITC" w:cs="Times New Roman"/>
          <w:sz w:val="18"/>
          <w:szCs w:val="18"/>
        </w:rPr>
        <w:t xml:space="preserve"> Preschool For All (PFA)</w:t>
      </w:r>
      <w:r w:rsidR="00226257">
        <w:rPr>
          <w:rFonts w:ascii="Kristen ITC" w:hAnsi="Kristen ITC" w:cs="Times New Roman"/>
          <w:sz w:val="18"/>
          <w:szCs w:val="18"/>
        </w:rPr>
        <w:t xml:space="preserve">, </w:t>
      </w:r>
      <w:proofErr w:type="spellStart"/>
      <w:r w:rsidR="00F228DF" w:rsidRPr="008C526D">
        <w:rPr>
          <w:rFonts w:ascii="Kristen ITC" w:hAnsi="Kristen ITC" w:cs="Times New Roman"/>
          <w:sz w:val="18"/>
          <w:szCs w:val="18"/>
        </w:rPr>
        <w:t>HeadStart</w:t>
      </w:r>
      <w:proofErr w:type="spellEnd"/>
      <w:r w:rsidR="00654ED4">
        <w:rPr>
          <w:rFonts w:ascii="Kristen ITC" w:hAnsi="Kristen ITC" w:cs="Times New Roman"/>
          <w:sz w:val="18"/>
          <w:szCs w:val="18"/>
        </w:rPr>
        <w:t xml:space="preserve">, private preschool, </w:t>
      </w:r>
      <w:r w:rsidR="00226257">
        <w:rPr>
          <w:rFonts w:ascii="Kristen ITC" w:hAnsi="Kristen ITC" w:cs="Times New Roman"/>
          <w:sz w:val="18"/>
          <w:szCs w:val="18"/>
        </w:rPr>
        <w:t>child care center or h</w:t>
      </w:r>
      <w:r w:rsidR="00226257" w:rsidRPr="008C526D">
        <w:rPr>
          <w:rFonts w:ascii="Kristen ITC" w:hAnsi="Kristen ITC" w:cs="Times New Roman"/>
          <w:sz w:val="18"/>
          <w:szCs w:val="18"/>
        </w:rPr>
        <w:t>ome-hospital (students are medically designated not able to</w:t>
      </w:r>
      <w:r w:rsidR="00382EF8">
        <w:rPr>
          <w:rFonts w:ascii="Kristen ITC" w:hAnsi="Kristen ITC" w:cs="Times New Roman"/>
          <w:sz w:val="18"/>
          <w:szCs w:val="18"/>
        </w:rPr>
        <w:t xml:space="preserve"> attend</w:t>
      </w:r>
      <w:r w:rsidR="00226257" w:rsidRPr="008C526D">
        <w:rPr>
          <w:rFonts w:ascii="Kristen ITC" w:hAnsi="Kristen ITC" w:cs="Times New Roman"/>
          <w:sz w:val="18"/>
          <w:szCs w:val="18"/>
        </w:rPr>
        <w:t xml:space="preserve"> school by a physician) </w:t>
      </w:r>
      <w:r w:rsidR="00226257">
        <w:rPr>
          <w:rFonts w:ascii="Kristen ITC" w:hAnsi="Kristen ITC" w:cs="Times New Roman"/>
          <w:sz w:val="18"/>
          <w:szCs w:val="18"/>
        </w:rPr>
        <w:t>programs</w:t>
      </w:r>
      <w:r w:rsidR="0028067B" w:rsidRPr="008C526D">
        <w:rPr>
          <w:rFonts w:ascii="Kristen ITC" w:hAnsi="Kristen ITC" w:cs="Times New Roman"/>
          <w:sz w:val="18"/>
          <w:szCs w:val="18"/>
        </w:rPr>
        <w:t xml:space="preserve"> with </w:t>
      </w:r>
      <w:r w:rsidR="00C23FA8" w:rsidRPr="008C526D">
        <w:rPr>
          <w:rFonts w:ascii="Kristen ITC" w:hAnsi="Kristen ITC" w:cs="Times New Roman"/>
          <w:sz w:val="18"/>
          <w:szCs w:val="18"/>
        </w:rPr>
        <w:t>inclusion support services</w:t>
      </w:r>
      <w:r w:rsidR="00DE4C79" w:rsidRPr="008C526D">
        <w:rPr>
          <w:rFonts w:ascii="Kristen ITC" w:hAnsi="Kristen ITC" w:cs="Times New Roman"/>
          <w:sz w:val="18"/>
          <w:szCs w:val="18"/>
        </w:rPr>
        <w:t xml:space="preserve">. </w:t>
      </w:r>
      <w:r w:rsidRPr="008C526D">
        <w:rPr>
          <w:rFonts w:ascii="Kristen ITC" w:hAnsi="Kristen ITC" w:cs="Times New Roman"/>
          <w:sz w:val="18"/>
          <w:szCs w:val="18"/>
        </w:rPr>
        <w:t xml:space="preserve"> </w:t>
      </w:r>
      <w:r w:rsidR="00654ED4">
        <w:rPr>
          <w:rFonts w:ascii="Kristen ITC" w:hAnsi="Kristen ITC" w:cs="Times New Roman"/>
          <w:sz w:val="18"/>
          <w:szCs w:val="18"/>
        </w:rPr>
        <w:t>There are three models for inclusion support. They are:</w:t>
      </w:r>
    </w:p>
    <w:p w:rsidR="00654ED4" w:rsidRDefault="00654ED4" w:rsidP="00654ED4">
      <w:pPr>
        <w:pStyle w:val="ListParagraph"/>
        <w:numPr>
          <w:ilvl w:val="0"/>
          <w:numId w:val="3"/>
        </w:numPr>
        <w:rPr>
          <w:rFonts w:ascii="Kristen ITC" w:hAnsi="Kristen ITC" w:cs="Times New Roman"/>
          <w:sz w:val="18"/>
          <w:szCs w:val="18"/>
        </w:rPr>
      </w:pPr>
      <w:r>
        <w:rPr>
          <w:rFonts w:ascii="Kristen ITC" w:hAnsi="Kristen ITC" w:cs="Times New Roman"/>
          <w:sz w:val="18"/>
          <w:szCs w:val="18"/>
        </w:rPr>
        <w:t>Itinerant support-Special educator and related service staff provide support in the classrooms moving from room to room or site to site.</w:t>
      </w:r>
    </w:p>
    <w:p w:rsidR="00654ED4" w:rsidRDefault="000D1F44" w:rsidP="00654ED4">
      <w:pPr>
        <w:pStyle w:val="ListParagraph"/>
        <w:numPr>
          <w:ilvl w:val="0"/>
          <w:numId w:val="3"/>
        </w:numPr>
        <w:rPr>
          <w:rFonts w:ascii="Kristen ITC" w:hAnsi="Kristen ITC" w:cs="Times New Roman"/>
          <w:sz w:val="18"/>
          <w:szCs w:val="18"/>
        </w:rPr>
      </w:pPr>
      <w:r>
        <w:rPr>
          <w:rFonts w:ascii="Kristen ITC" w:hAnsi="Kristen ITC" w:cs="Times New Roman"/>
          <w:sz w:val="18"/>
          <w:szCs w:val="18"/>
        </w:rPr>
        <w:t>Co-</w:t>
      </w:r>
      <w:r w:rsidR="00654ED4">
        <w:rPr>
          <w:rFonts w:ascii="Kristen ITC" w:hAnsi="Kristen ITC" w:cs="Times New Roman"/>
          <w:sz w:val="18"/>
          <w:szCs w:val="18"/>
        </w:rPr>
        <w:t>Teaching-Two teachers (special and general educators) team teach the students in the classroom together</w:t>
      </w:r>
    </w:p>
    <w:p w:rsidR="00010C3B" w:rsidRPr="00035B5C" w:rsidRDefault="00654ED4" w:rsidP="00035B5C">
      <w:pPr>
        <w:pStyle w:val="ListParagraph"/>
        <w:numPr>
          <w:ilvl w:val="0"/>
          <w:numId w:val="3"/>
        </w:numPr>
        <w:rPr>
          <w:rFonts w:ascii="Kristen ITC" w:hAnsi="Kristen ITC" w:cs="Times New Roman"/>
          <w:sz w:val="18"/>
          <w:szCs w:val="18"/>
        </w:rPr>
      </w:pPr>
      <w:r>
        <w:rPr>
          <w:rFonts w:ascii="Kristen ITC" w:hAnsi="Kristen ITC" w:cs="Times New Roman"/>
          <w:sz w:val="18"/>
          <w:szCs w:val="18"/>
        </w:rPr>
        <w:t>Blended-One teacher dually licensed to teach both general and special education teaches all children together</w:t>
      </w:r>
    </w:p>
    <w:p w:rsidR="00010C3B" w:rsidRDefault="006527F0" w:rsidP="00116208">
      <w:pPr>
        <w:rPr>
          <w:rFonts w:ascii="Kristen ITC" w:hAnsi="Kristen ITC" w:cs="Times New Roman"/>
          <w:sz w:val="18"/>
          <w:szCs w:val="18"/>
        </w:rPr>
      </w:pPr>
      <w:r w:rsidRPr="00116208">
        <w:rPr>
          <w:rFonts w:ascii="Kristen ITC" w:hAnsi="Kristen ITC" w:cs="Times New Roman"/>
          <w:sz w:val="18"/>
          <w:szCs w:val="18"/>
        </w:rPr>
        <w:t>Services can be inside or outside the general PreK classroom depending on the needs of the student</w:t>
      </w:r>
      <w:r w:rsidR="003941F8">
        <w:rPr>
          <w:rFonts w:ascii="Kristen ITC" w:hAnsi="Kristen ITC" w:cs="Times New Roman"/>
          <w:sz w:val="18"/>
          <w:szCs w:val="18"/>
        </w:rPr>
        <w:t xml:space="preserve">. </w:t>
      </w:r>
      <w:r w:rsidR="003941F8" w:rsidRPr="00116208">
        <w:rPr>
          <w:rFonts w:ascii="Kristen ITC" w:hAnsi="Kristen ITC" w:cs="Times New Roman"/>
          <w:sz w:val="18"/>
          <w:szCs w:val="18"/>
        </w:rPr>
        <w:t>Related services typically include speech and sometimes OT, PT, Social work or vision/hearing.</w:t>
      </w:r>
      <w:r w:rsidR="003941F8">
        <w:rPr>
          <w:rFonts w:ascii="Kristen ITC" w:hAnsi="Kristen ITC" w:cs="Times New Roman"/>
          <w:sz w:val="18"/>
          <w:szCs w:val="18"/>
        </w:rPr>
        <w:t xml:space="preserve"> </w:t>
      </w:r>
      <w:r w:rsidR="0042210B" w:rsidRPr="00116208">
        <w:rPr>
          <w:rFonts w:ascii="Kristen ITC" w:hAnsi="Kristen ITC" w:cs="Times New Roman"/>
          <w:sz w:val="18"/>
          <w:szCs w:val="18"/>
        </w:rPr>
        <w:t>Students not attending a</w:t>
      </w:r>
      <w:r w:rsidRPr="00116208">
        <w:rPr>
          <w:rFonts w:ascii="Kristen ITC" w:hAnsi="Kristen ITC" w:cs="Times New Roman"/>
          <w:sz w:val="18"/>
          <w:szCs w:val="18"/>
        </w:rPr>
        <w:t xml:space="preserve"> program are served in an agreed upon location, typically a place in the school.</w:t>
      </w:r>
    </w:p>
    <w:p w:rsidR="00010C3B" w:rsidRPr="008C526D" w:rsidRDefault="00010C3B" w:rsidP="00D826AF">
      <w:pPr>
        <w:rPr>
          <w:rFonts w:ascii="Kristen ITC" w:hAnsi="Kristen ITC" w:cs="Times New Roman"/>
          <w:sz w:val="18"/>
          <w:szCs w:val="18"/>
        </w:rPr>
      </w:pPr>
    </w:p>
    <w:p w:rsidR="004744CD" w:rsidRPr="00AD7F66" w:rsidRDefault="000742AB" w:rsidP="00D826AF">
      <w:pPr>
        <w:rPr>
          <w:rFonts w:ascii="Baskerville Old Face" w:hAnsi="Baskerville Old Face" w:cs="Times New Roman"/>
          <w:sz w:val="28"/>
          <w:szCs w:val="28"/>
        </w:rPr>
      </w:pPr>
      <w:r w:rsidRPr="008C526D">
        <w:rPr>
          <w:rFonts w:ascii="Kristen ITC" w:hAnsi="Kristen ITC" w:cs="Times New Roman"/>
          <w:sz w:val="18"/>
          <w:szCs w:val="18"/>
        </w:rPr>
        <w:t xml:space="preserve">Early Childhood Special Education </w:t>
      </w:r>
      <w:r w:rsidR="00840C1A" w:rsidRPr="008C526D">
        <w:rPr>
          <w:rFonts w:ascii="Kristen ITC" w:hAnsi="Kristen ITC" w:cs="Times New Roman"/>
          <w:sz w:val="18"/>
          <w:szCs w:val="18"/>
        </w:rPr>
        <w:t>services are</w:t>
      </w:r>
      <w:r w:rsidR="00721D71" w:rsidRPr="008C526D">
        <w:rPr>
          <w:rFonts w:ascii="Kristen ITC" w:hAnsi="Kristen ITC" w:cs="Times New Roman"/>
          <w:sz w:val="18"/>
          <w:szCs w:val="18"/>
        </w:rPr>
        <w:t xml:space="preserve"> designed to provide specific </w:t>
      </w:r>
      <w:r w:rsidR="004C03B6" w:rsidRPr="008C526D">
        <w:rPr>
          <w:rFonts w:ascii="Kristen ITC" w:hAnsi="Kristen ITC" w:cs="Times New Roman"/>
          <w:sz w:val="18"/>
          <w:szCs w:val="18"/>
        </w:rPr>
        <w:t>learning activities for children within a developmentally appropriate framework.  Due to the developmental level of the children, activities are designed to incorporate play-like materials while also using a variety of different teaching strategies to build upon the child’s individual strengths and to improve areas of weakness</w:t>
      </w:r>
      <w:r w:rsidR="00F228DF" w:rsidRPr="008C526D">
        <w:rPr>
          <w:rFonts w:ascii="Kristen ITC" w:hAnsi="Kristen ITC" w:cs="Times New Roman"/>
          <w:sz w:val="18"/>
          <w:szCs w:val="18"/>
        </w:rPr>
        <w:t>.</w:t>
      </w:r>
      <w:r w:rsidR="000D1F44">
        <w:rPr>
          <w:rFonts w:ascii="Kristen ITC" w:hAnsi="Kristen ITC" w:cs="Times New Roman"/>
          <w:sz w:val="18"/>
          <w:szCs w:val="18"/>
        </w:rPr>
        <w:t xml:space="preserve"> I</w:t>
      </w:r>
      <w:r w:rsidR="004C03B6" w:rsidRPr="008C526D">
        <w:rPr>
          <w:rFonts w:ascii="Kristen ITC" w:hAnsi="Kristen ITC" w:cs="Times New Roman"/>
          <w:sz w:val="18"/>
          <w:szCs w:val="18"/>
        </w:rPr>
        <w:t>nstruction may t</w:t>
      </w:r>
      <w:r w:rsidR="0042210B" w:rsidRPr="008C526D">
        <w:rPr>
          <w:rFonts w:ascii="Kristen ITC" w:hAnsi="Kristen ITC" w:cs="Times New Roman"/>
          <w:sz w:val="18"/>
          <w:szCs w:val="18"/>
        </w:rPr>
        <w:t xml:space="preserve">ake place within a small group </w:t>
      </w:r>
      <w:r w:rsidR="004C03B6" w:rsidRPr="008C526D">
        <w:rPr>
          <w:rFonts w:ascii="Kristen ITC" w:hAnsi="Kristen ITC" w:cs="Times New Roman"/>
          <w:sz w:val="18"/>
          <w:szCs w:val="18"/>
        </w:rPr>
        <w:t>or whole class</w:t>
      </w:r>
      <w:r w:rsidR="000D1F44">
        <w:rPr>
          <w:rFonts w:ascii="Kristen ITC" w:hAnsi="Kristen ITC" w:cs="Times New Roman"/>
          <w:sz w:val="18"/>
          <w:szCs w:val="18"/>
        </w:rPr>
        <w:t xml:space="preserve"> setting.</w:t>
      </w:r>
    </w:p>
    <w:p w:rsidR="001E6F0D" w:rsidRDefault="001E6F0D" w:rsidP="00D826AF">
      <w:pPr>
        <w:rPr>
          <w:rFonts w:ascii="Baskerville Old Face" w:hAnsi="Baskerville Old Face"/>
          <w:sz w:val="28"/>
          <w:szCs w:val="28"/>
        </w:rPr>
      </w:pPr>
    </w:p>
    <w:p w:rsidR="001E6F0D" w:rsidRPr="001E6F0D" w:rsidRDefault="00000722" w:rsidP="008C526D">
      <w:pPr>
        <w:jc w:val="center"/>
        <w:rPr>
          <w:rFonts w:ascii="Baskerville Old Face" w:hAnsi="Baskerville Old Face"/>
          <w:sz w:val="28"/>
          <w:szCs w:val="28"/>
        </w:rPr>
      </w:pPr>
      <w:bookmarkStart w:id="0" w:name="_GoBack"/>
      <w:r>
        <w:rPr>
          <w:rFonts w:ascii="Baskerville Old Face" w:hAnsi="Baskerville Old Face"/>
          <w:noProof/>
          <w:sz w:val="28"/>
          <w:szCs w:val="28"/>
        </w:rPr>
        <w:drawing>
          <wp:inline distT="0" distB="0" distL="0" distR="0">
            <wp:extent cx="3752850" cy="13824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8">
                      <a:extLst>
                        <a:ext uri="{28A0092B-C50C-407E-A947-70E740481C1C}">
                          <a14:useLocalDpi xmlns:a14="http://schemas.microsoft.com/office/drawing/2010/main" val="0"/>
                        </a:ext>
                      </a:extLst>
                    </a:blip>
                    <a:stretch>
                      <a:fillRect/>
                    </a:stretch>
                  </pic:blipFill>
                  <pic:spPr>
                    <a:xfrm>
                      <a:off x="0" y="0"/>
                      <a:ext cx="3787629" cy="1395272"/>
                    </a:xfrm>
                    <a:prstGeom prst="rect">
                      <a:avLst/>
                    </a:prstGeom>
                  </pic:spPr>
                </pic:pic>
              </a:graphicData>
            </a:graphic>
          </wp:inline>
        </w:drawing>
      </w:r>
      <w:bookmarkEnd w:id="0"/>
    </w:p>
    <w:sectPr w:rsidR="001E6F0D" w:rsidRPr="001E6F0D" w:rsidSect="00872C52">
      <w:footerReference w:type="default" r:id="rId9"/>
      <w:pgSz w:w="12240" w:h="15840"/>
      <w:pgMar w:top="1440" w:right="1440" w:bottom="1440" w:left="1440" w:header="720" w:footer="720" w:gutter="0"/>
      <w:pgBorders w:offsetFrom="page">
        <w:top w:val="doubleWave" w:sz="6" w:space="24" w:color="FF0000"/>
        <w:left w:val="doubleWave" w:sz="6" w:space="24" w:color="FF0000"/>
        <w:bottom w:val="doubleWave" w:sz="6" w:space="24" w:color="FF0000"/>
        <w:right w:val="doubleWave" w:sz="6"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8C" w:rsidRDefault="00E8118C" w:rsidP="00E8118C">
      <w:r>
        <w:separator/>
      </w:r>
    </w:p>
  </w:endnote>
  <w:endnote w:type="continuationSeparator" w:id="0">
    <w:p w:rsidR="00E8118C" w:rsidRDefault="00E8118C" w:rsidP="00E8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8C" w:rsidRPr="00334335" w:rsidRDefault="000D1F44">
    <w:pPr>
      <w:pStyle w:val="Footer"/>
      <w:rPr>
        <w:sz w:val="16"/>
        <w:szCs w:val="16"/>
      </w:rPr>
    </w:pPr>
    <w:r>
      <w:rPr>
        <w:sz w:val="16"/>
        <w:szCs w:val="16"/>
      </w:rPr>
      <w:t>July 2018</w:t>
    </w:r>
  </w:p>
  <w:p w:rsidR="00E8118C" w:rsidRDefault="00E81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8C" w:rsidRDefault="00E8118C" w:rsidP="00E8118C">
      <w:r>
        <w:separator/>
      </w:r>
    </w:p>
  </w:footnote>
  <w:footnote w:type="continuationSeparator" w:id="0">
    <w:p w:rsidR="00E8118C" w:rsidRDefault="00E8118C" w:rsidP="00E8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8B1"/>
    <w:multiLevelType w:val="hybridMultilevel"/>
    <w:tmpl w:val="7C205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0E15A2"/>
    <w:multiLevelType w:val="hybridMultilevel"/>
    <w:tmpl w:val="51E64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B5558"/>
    <w:multiLevelType w:val="hybridMultilevel"/>
    <w:tmpl w:val="59FEE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F"/>
    <w:rsid w:val="00000722"/>
    <w:rsid w:val="00010C3B"/>
    <w:rsid w:val="00015147"/>
    <w:rsid w:val="00035B5C"/>
    <w:rsid w:val="0005368D"/>
    <w:rsid w:val="000742AB"/>
    <w:rsid w:val="00095722"/>
    <w:rsid w:val="000B3D19"/>
    <w:rsid w:val="000C29FB"/>
    <w:rsid w:val="000D13E2"/>
    <w:rsid w:val="000D1F44"/>
    <w:rsid w:val="00116208"/>
    <w:rsid w:val="0016276D"/>
    <w:rsid w:val="0017542E"/>
    <w:rsid w:val="001E6F0D"/>
    <w:rsid w:val="001F4246"/>
    <w:rsid w:val="00226257"/>
    <w:rsid w:val="00251081"/>
    <w:rsid w:val="0027697D"/>
    <w:rsid w:val="0028067B"/>
    <w:rsid w:val="002C21CA"/>
    <w:rsid w:val="002D0E60"/>
    <w:rsid w:val="002D27CC"/>
    <w:rsid w:val="00334335"/>
    <w:rsid w:val="00356218"/>
    <w:rsid w:val="00382EF8"/>
    <w:rsid w:val="003941F8"/>
    <w:rsid w:val="003D4C60"/>
    <w:rsid w:val="00407EB0"/>
    <w:rsid w:val="00413F24"/>
    <w:rsid w:val="004149EC"/>
    <w:rsid w:val="0042210B"/>
    <w:rsid w:val="004744CD"/>
    <w:rsid w:val="00480B08"/>
    <w:rsid w:val="004C03B6"/>
    <w:rsid w:val="00550BDA"/>
    <w:rsid w:val="006527F0"/>
    <w:rsid w:val="00654ED4"/>
    <w:rsid w:val="006A5482"/>
    <w:rsid w:val="006C7AC4"/>
    <w:rsid w:val="006F5BD7"/>
    <w:rsid w:val="00721D71"/>
    <w:rsid w:val="00722059"/>
    <w:rsid w:val="00744C13"/>
    <w:rsid w:val="007831F4"/>
    <w:rsid w:val="007832F4"/>
    <w:rsid w:val="007E2695"/>
    <w:rsid w:val="007F69FA"/>
    <w:rsid w:val="0080746E"/>
    <w:rsid w:val="00840C1A"/>
    <w:rsid w:val="00872C52"/>
    <w:rsid w:val="00887280"/>
    <w:rsid w:val="00895D97"/>
    <w:rsid w:val="008B1390"/>
    <w:rsid w:val="008C0268"/>
    <w:rsid w:val="008C526D"/>
    <w:rsid w:val="0092606D"/>
    <w:rsid w:val="0093694B"/>
    <w:rsid w:val="00940CDA"/>
    <w:rsid w:val="00944FB2"/>
    <w:rsid w:val="0094526F"/>
    <w:rsid w:val="009667B1"/>
    <w:rsid w:val="009D6FE0"/>
    <w:rsid w:val="00A376E1"/>
    <w:rsid w:val="00A66B93"/>
    <w:rsid w:val="00AA49E0"/>
    <w:rsid w:val="00AD7F66"/>
    <w:rsid w:val="00B122D8"/>
    <w:rsid w:val="00B3170D"/>
    <w:rsid w:val="00B52047"/>
    <w:rsid w:val="00B57D6D"/>
    <w:rsid w:val="00B63023"/>
    <w:rsid w:val="00B83806"/>
    <w:rsid w:val="00BA49D3"/>
    <w:rsid w:val="00BB00B7"/>
    <w:rsid w:val="00C23FA8"/>
    <w:rsid w:val="00C302F6"/>
    <w:rsid w:val="00C42BF0"/>
    <w:rsid w:val="00C47B3C"/>
    <w:rsid w:val="00C66C5A"/>
    <w:rsid w:val="00C7635A"/>
    <w:rsid w:val="00CD62AA"/>
    <w:rsid w:val="00D70B79"/>
    <w:rsid w:val="00D826AF"/>
    <w:rsid w:val="00DA37EC"/>
    <w:rsid w:val="00DE4C79"/>
    <w:rsid w:val="00DE5297"/>
    <w:rsid w:val="00DE5458"/>
    <w:rsid w:val="00DF2560"/>
    <w:rsid w:val="00E0630A"/>
    <w:rsid w:val="00E305F7"/>
    <w:rsid w:val="00E37908"/>
    <w:rsid w:val="00E62AD9"/>
    <w:rsid w:val="00E8118C"/>
    <w:rsid w:val="00EA13F8"/>
    <w:rsid w:val="00EB4C20"/>
    <w:rsid w:val="00ED695D"/>
    <w:rsid w:val="00F04DED"/>
    <w:rsid w:val="00F06127"/>
    <w:rsid w:val="00F228DF"/>
    <w:rsid w:val="00F24FC3"/>
    <w:rsid w:val="00F919EC"/>
    <w:rsid w:val="00F9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5:docId w15:val="{348D718F-288A-4D78-ACB0-49A95F6E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246"/>
    <w:rPr>
      <w:rFonts w:ascii="Tahoma" w:hAnsi="Tahoma" w:cs="Tahoma"/>
      <w:sz w:val="16"/>
      <w:szCs w:val="16"/>
    </w:rPr>
  </w:style>
  <w:style w:type="character" w:customStyle="1" w:styleId="BalloonTextChar">
    <w:name w:val="Balloon Text Char"/>
    <w:basedOn w:val="DefaultParagraphFont"/>
    <w:link w:val="BalloonText"/>
    <w:uiPriority w:val="99"/>
    <w:semiHidden/>
    <w:rsid w:val="001F4246"/>
    <w:rPr>
      <w:rFonts w:ascii="Tahoma" w:hAnsi="Tahoma" w:cs="Tahoma"/>
      <w:sz w:val="16"/>
      <w:szCs w:val="16"/>
    </w:rPr>
  </w:style>
  <w:style w:type="paragraph" w:styleId="ListParagraph">
    <w:name w:val="List Paragraph"/>
    <w:basedOn w:val="Normal"/>
    <w:uiPriority w:val="34"/>
    <w:qFormat/>
    <w:rsid w:val="006527F0"/>
    <w:pPr>
      <w:spacing w:after="200" w:line="276" w:lineRule="auto"/>
      <w:ind w:left="720"/>
      <w:contextualSpacing/>
    </w:pPr>
  </w:style>
  <w:style w:type="paragraph" w:styleId="Header">
    <w:name w:val="header"/>
    <w:basedOn w:val="Normal"/>
    <w:link w:val="HeaderChar"/>
    <w:uiPriority w:val="99"/>
    <w:unhideWhenUsed/>
    <w:rsid w:val="00E8118C"/>
    <w:pPr>
      <w:tabs>
        <w:tab w:val="center" w:pos="4680"/>
        <w:tab w:val="right" w:pos="9360"/>
      </w:tabs>
    </w:pPr>
  </w:style>
  <w:style w:type="character" w:customStyle="1" w:styleId="HeaderChar">
    <w:name w:val="Header Char"/>
    <w:basedOn w:val="DefaultParagraphFont"/>
    <w:link w:val="Header"/>
    <w:uiPriority w:val="99"/>
    <w:rsid w:val="00E8118C"/>
  </w:style>
  <w:style w:type="paragraph" w:styleId="Footer">
    <w:name w:val="footer"/>
    <w:basedOn w:val="Normal"/>
    <w:link w:val="FooterChar"/>
    <w:uiPriority w:val="99"/>
    <w:unhideWhenUsed/>
    <w:rsid w:val="00E8118C"/>
    <w:pPr>
      <w:tabs>
        <w:tab w:val="center" w:pos="4680"/>
        <w:tab w:val="right" w:pos="9360"/>
      </w:tabs>
    </w:pPr>
  </w:style>
  <w:style w:type="character" w:customStyle="1" w:styleId="FooterChar">
    <w:name w:val="Footer Char"/>
    <w:basedOn w:val="DefaultParagraphFont"/>
    <w:link w:val="Footer"/>
    <w:uiPriority w:val="99"/>
    <w:rsid w:val="00E8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CEhlert</dc:creator>
  <cp:lastModifiedBy>Kim Nelson</cp:lastModifiedBy>
  <cp:revision>4</cp:revision>
  <cp:lastPrinted>2017-02-10T15:43:00Z</cp:lastPrinted>
  <dcterms:created xsi:type="dcterms:W3CDTF">2018-07-30T14:33:00Z</dcterms:created>
  <dcterms:modified xsi:type="dcterms:W3CDTF">2018-07-30T14:37:00Z</dcterms:modified>
</cp:coreProperties>
</file>